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0"/>
        <w:jc w:val="center"/>
      </w:pPr>
      <w:r>
        <w:rPr>
          <w:b/>
          <w:color w:val="173F2A"/>
          <w:sz w:val="56"/>
        </w:rPr>
        <w:t>THE SUSTAINABLE</w:t>
        <w:br/>
        <w:t>TOKEN ($TST)</w:t>
      </w:r>
    </w:p>
    <w:p>
      <w:pPr>
        <w:jc w:val="center"/>
      </w:pPr>
      <w:r>
        <w:rPr>
          <w:b/>
          <w:color w:val="178A43"/>
          <w:sz w:val="26"/>
        </w:rPr>
        <w:t>REVISED WHITEPAPER • VERSION 1.1</w:t>
      </w:r>
    </w:p>
    <w:p>
      <w:pPr>
        <w:spacing w:before="1000"/>
        <w:jc w:val="center"/>
      </w:pPr>
      <w:r>
        <w:rPr>
          <w:color w:val="178A43"/>
          <w:sz w:val="76"/>
        </w:rPr>
        <w:t>◎</w:t>
        <w:br/>
        <w:t>♧</w:t>
      </w:r>
    </w:p>
    <w:p>
      <w:pPr>
        <w:jc w:val="center"/>
      </w:pPr>
      <w:r>
        <w:rPr>
          <w:i/>
        </w:rPr>
        <w:t>One Planet. One Community. A Sustainable Future.</w:t>
      </w:r>
    </w:p>
    <w:p>
      <w:pPr>
        <w:spacing w:before="1500"/>
        <w:jc w:val="center"/>
      </w:pPr>
      <w:r>
        <w:t>October 2026 • Project concept and proposed framework</w:t>
      </w:r>
    </w:p>
    <w:p>
      <w:r>
        <w:br w:type="page"/>
      </w:r>
    </w:p>
    <w:p>
      <w:pPr>
        <w:pStyle w:val="Heading1"/>
      </w:pPr>
      <w:r>
        <w:t>Contents</w:t>
      </w:r>
    </w:p>
    <w:p>
      <w:r>
        <w:t>Important Notice</w:t>
      </w:r>
    </w:p>
    <w:p>
      <w:r>
        <w:t>Executive Summary</w:t>
      </w:r>
    </w:p>
    <w:p>
      <w:r>
        <w:t>1. Vision, Mission, and Values</w:t>
      </w:r>
    </w:p>
    <w:p>
      <w:r>
        <w:t>2. The Challenge and Opportunity</w:t>
      </w:r>
    </w:p>
    <w:p>
      <w:r>
        <w:t>3. Project Overview</w:t>
      </w:r>
    </w:p>
    <w:p>
      <w:r>
        <w:t>4. Sustainability Foundations</w:t>
      </w:r>
    </w:p>
    <w:p>
      <w:r>
        <w:t>5. Community Programs and Potential Initiatives</w:t>
      </w:r>
    </w:p>
    <w:p>
      <w:r>
        <w:t>6. Impact Measurement and Environmental Claims</w:t>
      </w:r>
    </w:p>
    <w:p>
      <w:r>
        <w:t>7. Token Design and Tokenomics</w:t>
      </w:r>
    </w:p>
    <w:p>
      <w:r>
        <w:t>8. Solana Technology and Security</w:t>
      </w:r>
    </w:p>
    <w:p>
      <w:r>
        <w:t>9. Transparency, Treasury, and Governance</w:t>
      </w:r>
    </w:p>
    <w:p>
      <w:r>
        <w:t>10. Roadmap</w:t>
      </w:r>
    </w:p>
    <w:p>
      <w:r>
        <w:t>11. Risks and Limitations</w:t>
      </w:r>
    </w:p>
    <w:p>
      <w:r>
        <w:t>12. Legal and Communications Principles</w:t>
      </w:r>
    </w:p>
    <w:p>
      <w:r>
        <w:t>13. Frequently Asked Questions</w:t>
      </w:r>
    </w:p>
    <w:p>
      <w:r>
        <w:t>14. Conclusion</w:t>
      </w:r>
    </w:p>
    <w:p>
      <w:r>
        <w:t>Appendix A — Pre-Launch Checklist</w:t>
      </w:r>
    </w:p>
    <w:p>
      <w:r>
        <w:t>Appendix B — Definitions</w:t>
      </w:r>
    </w:p>
    <w:p>
      <w:r>
        <w:t>Document Status</w:t>
      </w:r>
    </w:p>
    <w:p>
      <w:r>
        <w:br w:type="page"/>
      </w:r>
    </w:p>
    <w:p>
      <w:pPr>
        <w:pStyle w:val="Heading1"/>
      </w:pPr>
      <w:r>
        <w:t>Important Notice</w:t>
      </w:r>
    </w:p>
    <w:p>
      <w:r>
        <w:t>This whitepaper describes the proposed vision and operating principles for The Sustainable Token ($TST), a sustainability-themed community token intended for the Solana ecosystem. Unless separately announced and independently verifiable, $TST must not be represented as launched, audited, listed, partnered with an environmental organization, or actively funding environmental work.</w:t>
      </w:r>
    </w:p>
    <w:p>
      <w:r>
        <w:t>This document is informational and is not financial, investment, legal, tax, or environmental advice, nor an offer or solicitation to purchase a digital asset. Crypto assets are volatile and may lose all value. No profit, liquidity, utility, listing, donation, partnership, or environmental outcome is guaranteed.</w:t>
      </w:r>
    </w:p>
    <w:p>
      <w:r>
        <w:t>Technical and commercial details that have not been confirmed—including token supply, decimals, mint address, distribution, liquidity arrangements, authority settings, treasury controls, and launch dates—are left open for verification. Any final public version should be reviewed by qualified legal and technical professionals.</w:t>
      </w:r>
    </w:p>
    <w:p>
      <w:pPr>
        <w:pStyle w:val="Heading1"/>
      </w:pPr>
      <w:r>
        <w:t>Executive Summary</w:t>
      </w:r>
    </w:p>
    <w:p>
      <w:r>
        <w:t>The Sustainable Token ($TST) is a proposed Solana-based, sustainability-themed meme coin and community project. It aims to use the creativity and reach of internet culture to make environmental awareness more engaging, connect people around practical sustainability topics, and encourage constructive community participation.</w:t>
      </w:r>
    </w:p>
    <w:p>
      <w:r>
        <w:t>Its central message is: “One Planet. One Community. A Sustainable Future.” The project’s globe-and-sprout identity represents a shared planet and the possibility of growth. Its subject areas include clean energy, conservation and biodiversity, sustainable consumption, waste reduction, and everyday habits that can help protect natural resources.</w:t>
      </w:r>
    </w:p>
    <w:p>
      <w:r>
        <w:t>$TST begins as a community and awareness concept—not an environmental credit, charity, carbon offset, or proof of environmental impact. Buying, holding, or trading the token does not by itself reduce emissions, plant trees, fund conservation, or create measurable environmental benefits.</w:t>
      </w:r>
    </w:p>
    <w:p>
      <w:r>
        <w:t>The project’s credibility should be built through transparent token disclosures, responsible communications, secure operations, realistic planning, and evidence-based reporting. Future campaigns, collectibles, partnerships, or funding activities are possibilities only until formally established and verifiably delivered.</w:t>
      </w:r>
    </w:p>
    <w:p>
      <w:pPr>
        <w:pStyle w:val="Heading1"/>
      </w:pPr>
      <w:r>
        <w:t>1. Vision, Mission, and Values</w:t>
      </w:r>
    </w:p>
    <w:p>
      <w:pPr>
        <w:pStyle w:val="Heading2"/>
      </w:pPr>
      <w:r>
        <w:t>Vision</w:t>
      </w:r>
    </w:p>
    <w:p>
      <w:r>
        <w:t>Help nurture a future in which people are more informed about sustainability and feel empowered to take practical steps to protect the natural world.</w:t>
      </w:r>
    </w:p>
    <w:p>
      <w:pPr>
        <w:pStyle w:val="Heading2"/>
      </w:pPr>
      <w:r>
        <w:t>Mission</w:t>
      </w:r>
    </w:p>
    <w:p>
      <w:r>
        <w:t>Build a transparent, community-driven crypto project that uses accessible branding, educational content, and voluntary participation to encourage environmental awareness and responsible everyday choices.</w:t>
      </w:r>
    </w:p>
    <w:p>
      <w:pPr>
        <w:pStyle w:val="Heading2"/>
      </w:pPr>
      <w:r>
        <w:t>Motto</w:t>
      </w:r>
    </w:p>
    <w:p>
      <w:r>
        <w:t>One Planet. One Community. A Sustainable Future.</w:t>
      </w:r>
    </w:p>
    <w:p>
      <w:pPr>
        <w:pStyle w:val="Heading2"/>
      </w:pPr>
      <w:r>
        <w:t>Core values</w:t>
      </w:r>
    </w:p>
    <w:p>
      <w:pPr>
        <w:pStyle w:val="ListBullet"/>
      </w:pPr>
      <w:r>
        <w:t>Transparency: distinguish verified facts from ideas, plans, and aspirations.</w:t>
      </w:r>
    </w:p>
    <w:p>
      <w:pPr>
        <w:pStyle w:val="ListBullet"/>
      </w:pPr>
      <w:r>
        <w:t>Responsibility: avoid exaggerated environmental claims and communicate limitations clearly.</w:t>
      </w:r>
    </w:p>
    <w:p>
      <w:pPr>
        <w:pStyle w:val="ListBullet"/>
      </w:pPr>
      <w:r>
        <w:t>Community: welcome people who want to learn, share ideas, and participate constructively.</w:t>
      </w:r>
    </w:p>
    <w:p>
      <w:pPr>
        <w:pStyle w:val="ListBullet"/>
      </w:pPr>
      <w:r>
        <w:t>Practical action: promote achievable habits and measurable activities rather than vague promises.</w:t>
      </w:r>
    </w:p>
    <w:p>
      <w:pPr>
        <w:pStyle w:val="ListBullet"/>
      </w:pPr>
      <w:r>
        <w:t>Integrity: do not imply that token ownership automatically delivers environmental benefits.</w:t>
      </w:r>
    </w:p>
    <w:p>
      <w:pPr>
        <w:pStyle w:val="ListBullet"/>
      </w:pPr>
      <w:r>
        <w:t>Continuous learning: use credible sources, listen to feedback, and improve public information as the project develops.</w:t>
      </w:r>
    </w:p>
    <w:p>
      <w:pPr>
        <w:pStyle w:val="Heading1"/>
      </w:pPr>
      <w:r>
        <w:t>2. The Challenge and Opportunity</w:t>
      </w:r>
    </w:p>
    <w:p>
      <w:r>
        <w:t>Climate change, pollution, resource use, habitat loss, and biodiversity decline are complex challenges. People may want to help but find the information overwhelming or feel that individual actions are too small to matter. At the same time, online communities can spread ideas quickly, but crypto promotion can also reward hype and unsupported claims.</w:t>
      </w:r>
    </w:p>
    <w:p>
      <w:r>
        <w:t>$TST aims to create a more approachable entry point for sustainability conversations by using familiar internet culture, community storytelling, educational posts, and voluntary activities. The project should never suggest that attention, token price, trading volume, or community size is equivalent to environmental progress.</w:t>
      </w:r>
    </w:p>
    <w:p>
      <w:pPr>
        <w:pStyle w:val="Heading2"/>
      </w:pPr>
      <w:r>
        <w:t>The guiding distinction</w:t>
      </w:r>
    </w:p>
    <w:p>
      <w:r>
        <w:t>A token can help identify a community; it does not, by itself, produce environmental outcomes. Any claim of impact must be tied to a specific activity, a clear method, credible evidence, and an honest explanation of what was—and was not—achieved.</w:t>
      </w:r>
    </w:p>
    <w:p>
      <w:pPr>
        <w:pStyle w:val="Heading1"/>
      </w:pPr>
      <w:r>
        <w:t>3. Project Overview</w:t>
      </w:r>
    </w:p>
    <w:p>
      <w:r>
        <w:t>Project name: The Sustainable Token. Ticker: $TST. Proposed network: Solana. Theme: environmental awareness, sustainable living, and community participation.</w:t>
      </w:r>
    </w:p>
    <w:p>
      <w:r>
        <w:t>The initial project scope is a clear identity, public documentation, community communications, and sustainability-themed content. Any technical product or added utility should be announced only when it has actually been developed and can be verified.</w:t>
      </w:r>
    </w:p>
    <w:p>
      <w:pPr>
        <w:pStyle w:val="Heading2"/>
      </w:pPr>
      <w:r>
        <w:t>What $TST is intended to be</w:t>
      </w:r>
    </w:p>
    <w:p>
      <w:pPr>
        <w:pStyle w:val="ListBullet"/>
      </w:pPr>
      <w:r>
        <w:t>A sustainability-themed meme coin and online community symbol.</w:t>
      </w:r>
    </w:p>
    <w:p>
      <w:pPr>
        <w:pStyle w:val="ListBullet"/>
      </w:pPr>
      <w:r>
        <w:t>A place to share educational content, creative work, and ideas about sustainability.</w:t>
      </w:r>
    </w:p>
    <w:p>
      <w:pPr>
        <w:pStyle w:val="ListBullet"/>
      </w:pPr>
      <w:r>
        <w:t>A potential organizer of voluntary community activities, subject to planning and available resources.</w:t>
      </w:r>
    </w:p>
    <w:p>
      <w:pPr>
        <w:pStyle w:val="Heading2"/>
      </w:pPr>
      <w:r>
        <w:t>What $TST is not by default</w:t>
      </w:r>
    </w:p>
    <w:p>
      <w:pPr>
        <w:pStyle w:val="ListBullet"/>
      </w:pPr>
      <w:r>
        <w:t>Not a carbon credit, carbon offset, environmental certification, or proof of impact.</w:t>
      </w:r>
    </w:p>
    <w:p>
      <w:pPr>
        <w:pStyle w:val="ListBullet"/>
      </w:pPr>
      <w:r>
        <w:t>Not a charity or a donation receipt.</w:t>
      </w:r>
    </w:p>
    <w:p>
      <w:pPr>
        <w:pStyle w:val="ListBullet"/>
      </w:pPr>
      <w:r>
        <w:t>Not an ownership share, claim on project revenue, or promise of financial returns.</w:t>
      </w:r>
    </w:p>
    <w:p>
      <w:pPr>
        <w:pStyle w:val="ListBullet"/>
      </w:pPr>
      <w:r>
        <w:t>Not an endorsement by Solana, an environmental organization, or any public authority.</w:t>
      </w:r>
    </w:p>
    <w:p>
      <w:pPr>
        <w:pStyle w:val="ListBullet"/>
      </w:pPr>
      <w:r>
        <w:t>Not a guarantee that future features, partnerships, or campaigns will be delivered.</w:t>
      </w:r>
    </w:p>
    <w:p>
      <w:pPr>
        <w:pStyle w:val="Heading1"/>
      </w:pPr>
      <w:r>
        <w:t>4. Sustainability Foundations</w:t>
      </w:r>
    </w:p>
    <w:p>
      <w:pPr>
        <w:pStyle w:val="Heading2"/>
      </w:pPr>
      <w:r>
        <w:t>4.1 Climate and energy</w:t>
      </w:r>
    </w:p>
    <w:p>
      <w:r>
        <w:t>The project can help explain the role of renewable energy sources—including solar, wind, and geothermal power—in reducing reliance on fossil fuels. It can also highlight energy conservation through efficient lighting, insulation, sensible heating and cooling, and avoiding unnecessary electricity use. Content should be educational and should avoid oversimplifying complex energy trade-offs.</w:t>
      </w:r>
    </w:p>
    <w:p>
      <w:pPr>
        <w:pStyle w:val="Heading2"/>
      </w:pPr>
      <w:r>
        <w:t>4.2 Natural resources and biodiversity</w:t>
      </w:r>
    </w:p>
    <w:p>
      <w:r>
        <w:t>Forests, wetlands, oceans, soils, and other ecosystems support biodiversity and provide essential benefits to people. $TST content may encourage habitat protection, responsible outdoor behavior, wildlife awareness, and support for credible conservation efforts. Claims about a particular species, habitat, or intervention should be supported by reliable sources.</w:t>
      </w:r>
    </w:p>
    <w:p>
      <w:pPr>
        <w:pStyle w:val="Heading2"/>
      </w:pPr>
      <w:r>
        <w:t>4.3 Sustainable consumption and circular economy</w:t>
      </w:r>
    </w:p>
    <w:p>
      <w:r>
        <w:t>A circular economy seeks to keep products and materials useful for longer through reduction, reuse, repair, sharing, and recycling. The project can encourage people to question unnecessary purchases, choose durable products, use reusable alternatives, and follow local recycling guidance. Recycling should not be presented as a complete solution to overconsumption or plastic pollution.</w:t>
      </w:r>
    </w:p>
    <w:p>
      <w:pPr>
        <w:pStyle w:val="Heading2"/>
      </w:pPr>
      <w:r>
        <w:t>4.4 Everyday action and systemic change</w:t>
      </w:r>
    </w:p>
    <w:p>
      <w:r>
        <w:t>Individual choices can contribute to wider progress, but many environmental challenges also require infrastructure, public policy, business changes, and collective action. $TST communications should recognize both personal participation and broader systemic factors rather than placing the entire burden on individuals.</w:t>
      </w:r>
    </w:p>
    <w:p>
      <w:pPr>
        <w:pStyle w:val="Heading1"/>
      </w:pPr>
      <w:r>
        <w:t>5. Community Programs and Potential Initiatives</w:t>
      </w:r>
    </w:p>
    <w:p>
      <w:r>
        <w:t>The following initiatives are possible future directions, not existing programs unless separately announced and verified.</w:t>
      </w:r>
    </w:p>
    <w:p>
      <w:pPr>
        <w:pStyle w:val="Heading2"/>
      </w:pPr>
      <w:r>
        <w:t>Education and awareness</w:t>
      </w:r>
    </w:p>
    <w:p>
      <w:pPr>
        <w:pStyle w:val="ListBullet"/>
      </w:pPr>
      <w:r>
        <w:t>Publish accessible explainers about clean energy, water conservation, biodiversity, waste reduction, and responsible consumption.</w:t>
      </w:r>
    </w:p>
    <w:p>
      <w:pPr>
        <w:pStyle w:val="ListBullet"/>
      </w:pPr>
      <w:r>
        <w:t>Use reputable sources and review educational claims for accuracy.</w:t>
      </w:r>
    </w:p>
    <w:p>
      <w:pPr>
        <w:pStyle w:val="ListBullet"/>
      </w:pPr>
      <w:r>
        <w:t>Encourage constructive discussion rather than shame, misinformation, or political hostility.</w:t>
      </w:r>
    </w:p>
    <w:p>
      <w:pPr>
        <w:pStyle w:val="Heading2"/>
      </w:pPr>
      <w:r>
        <w:t>Voluntary community challenges</w:t>
      </w:r>
    </w:p>
    <w:p>
      <w:pPr>
        <w:pStyle w:val="ListBullet"/>
      </w:pPr>
      <w:r>
        <w:t>Consider optional activities such as reducing single-use items, repairing or reusing goods, joining a local cleanup, or learning about a nearby ecosystem.</w:t>
      </w:r>
    </w:p>
    <w:p>
      <w:pPr>
        <w:pStyle w:val="ListBullet"/>
      </w:pPr>
      <w:r>
        <w:t>Make participation accessible and avoid pressuring people to spend money or disclose personal information.</w:t>
      </w:r>
    </w:p>
    <w:p>
      <w:pPr>
        <w:pStyle w:val="ListBullet"/>
      </w:pPr>
      <w:r>
        <w:t>If prizes are offered, publish clear eligibility, timing, judging, funding, and participation rules.</w:t>
      </w:r>
    </w:p>
    <w:p>
      <w:pPr>
        <w:pStyle w:val="Heading2"/>
      </w:pPr>
      <w:r>
        <w:t>Environmental partnerships or support</w:t>
      </w:r>
    </w:p>
    <w:p>
      <w:pPr>
        <w:pStyle w:val="ListBullet"/>
      </w:pPr>
      <w:r>
        <w:t>Evaluate organizations carefully before any partnership or donation is announced.</w:t>
      </w:r>
    </w:p>
    <w:p>
      <w:pPr>
        <w:pStyle w:val="ListBullet"/>
      </w:pPr>
      <w:r>
        <w:t>Confirm the recipient, purpose, permissions, payment method, and evidence of transfer.</w:t>
      </w:r>
    </w:p>
    <w:p>
      <w:pPr>
        <w:pStyle w:val="ListBullet"/>
      </w:pPr>
      <w:r>
        <w:t>Disclose any administrative costs, restrictions, or limitations associated with funds raised.</w:t>
      </w:r>
    </w:p>
    <w:p>
      <w:r>
        <w:t>No partnership, donation program, or automatic environmental contribution is implied by this whitepaper. Any such activity would need formal approval, transparent handling, and public evidence.</w:t>
      </w:r>
    </w:p>
    <w:p>
      <w:pPr>
        <w:pStyle w:val="Heading1"/>
      </w:pPr>
      <w:r>
        <w:t>6. Impact Measurement and Environmental Claims</w:t>
      </w:r>
    </w:p>
    <w:p>
      <w:r>
        <w:t>Environmental credibility requires more than a green logo or a well-intentioned message. If $TST undertakes an environmental activity, it should document the activity independently of token market performance.</w:t>
      </w:r>
    </w:p>
    <w:p>
      <w:pPr>
        <w:pStyle w:val="Heading2"/>
      </w:pPr>
      <w:r>
        <w:t>Minimum reporting standard</w:t>
      </w:r>
    </w:p>
    <w:p>
      <w:pPr>
        <w:pStyle w:val="ListBullet"/>
      </w:pPr>
      <w:r>
        <w:t>Define the activity, objective, location or scope, responsible parties, and intended result.</w:t>
      </w:r>
    </w:p>
    <w:p>
      <w:pPr>
        <w:pStyle w:val="ListBullet"/>
      </w:pPr>
      <w:r>
        <w:t>Set a measurement method before the activity begins, where practical.</w:t>
      </w:r>
    </w:p>
    <w:p>
      <w:pPr>
        <w:pStyle w:val="ListBullet"/>
      </w:pPr>
      <w:r>
        <w:t>Separate outputs—such as volunteers attending or waste collected—from longer-term outcomes, such as changes in habitat condition.</w:t>
      </w:r>
    </w:p>
    <w:p>
      <w:pPr>
        <w:pStyle w:val="ListBullet"/>
      </w:pPr>
      <w:r>
        <w:t>Keep appropriate evidence, such as receipts, partner confirmations, activity records, and photos where privacy and safety permit.</w:t>
      </w:r>
    </w:p>
    <w:p>
      <w:pPr>
        <w:pStyle w:val="ListBullet"/>
      </w:pPr>
      <w:r>
        <w:t>Report limitations, uncertainty, costs, and unsuccessful outcomes as well as successes.</w:t>
      </w:r>
    </w:p>
    <w:p>
      <w:pPr>
        <w:pStyle w:val="ListBullet"/>
      </w:pPr>
      <w:r>
        <w:t>Do not present estimates as verified facts or use third-party logos without permission.</w:t>
      </w:r>
    </w:p>
    <w:p>
      <w:pPr>
        <w:pStyle w:val="Heading2"/>
      </w:pPr>
      <w:r>
        <w:t>Claims to avoid unless substantiated</w:t>
      </w:r>
    </w:p>
    <w:p>
      <w:r>
        <w:t>Do not describe $TST as carbon-neutral, climate-positive, eco-friendly by technical design, or as saving a particular amount of emissions unless a credible and relevant method supports the specific claim. Do not imply that buying a token funds an environmental activity unless a real, documented funding mechanism exists.</w:t>
      </w:r>
    </w:p>
    <w:p>
      <w:r>
        <w:t>Social-media impressions, follower counts, wallet holders, token volume, and price appreciation are community or market indicators—not environmental impact metrics.</w:t>
      </w:r>
    </w:p>
    <w:p>
      <w:pPr>
        <w:pStyle w:val="Heading1"/>
      </w:pPr>
      <w:r>
        <w:t>7. Token Design and Tokenomics</w:t>
      </w:r>
    </w:p>
    <w:p>
      <w:r>
        <w:t>Token parameters must be finalized and disclosed before any launch. This whitepaper does not set a token supply, allocation percentage, price, or launch date because these details have not been confirmed.</w:t>
      </w:r>
    </w:p>
    <w:p>
      <w:pPr>
        <w:pStyle w:val="Heading2"/>
      </w:pPr>
      <w:r>
        <w:t>Required disclosures</w:t>
      </w:r>
    </w:p>
    <w:p>
      <w:pPr>
        <w:pStyle w:val="ListBullet"/>
      </w:pPr>
      <w:r>
        <w:t>Canonical mint address and reliable explorer links.</w:t>
      </w:r>
    </w:p>
    <w:p>
      <w:pPr>
        <w:pStyle w:val="ListBullet"/>
      </w:pPr>
      <w:r>
        <w:t>Token program, decimals, and exact total supply.</w:t>
      </w:r>
    </w:p>
    <w:p>
      <w:pPr>
        <w:pStyle w:val="ListBullet"/>
      </w:pPr>
      <w:r>
        <w:t>Mint authority status and evidence for any claimed revocation.</w:t>
      </w:r>
    </w:p>
    <w:p>
      <w:pPr>
        <w:pStyle w:val="ListBullet"/>
      </w:pPr>
      <w:r>
        <w:t>Freeze authority status and explanation of any retained controls.</w:t>
      </w:r>
    </w:p>
    <w:p>
      <w:pPr>
        <w:pStyle w:val="ListBullet"/>
      </w:pPr>
      <w:r>
        <w:t>Distribution across wallets, including team, treasury, marketing, liquidity, and community allocations where applicable.</w:t>
      </w:r>
    </w:p>
    <w:p>
      <w:pPr>
        <w:pStyle w:val="ListBullet"/>
      </w:pPr>
      <w:r>
        <w:t>Vesting, lockups, or other restrictions, with verifiable evidence where used.</w:t>
      </w:r>
    </w:p>
    <w:p>
      <w:pPr>
        <w:pStyle w:val="ListBullet"/>
      </w:pPr>
      <w:r>
        <w:t>Liquidity arrangements, who controls the relevant assets, and any lock terms or limitations.</w:t>
      </w:r>
    </w:p>
    <w:p>
      <w:pPr>
        <w:pStyle w:val="ListBullet"/>
      </w:pPr>
      <w:r>
        <w:t>Any transaction fees or special token features, stated plainly.</w:t>
      </w:r>
    </w:p>
    <w:p>
      <w:pPr>
        <w:pStyle w:val="Heading2"/>
      </w:pPr>
      <w:r>
        <w:t>Tokenomics principles</w:t>
      </w:r>
    </w:p>
    <w:p>
      <w:pPr>
        <w:pStyle w:val="ListBullet"/>
      </w:pPr>
      <w:r>
        <w:t>Prefer simple structures that are easy for the public to understand and verify.</w:t>
      </w:r>
    </w:p>
    <w:p>
      <w:pPr>
        <w:pStyle w:val="ListBullet"/>
      </w:pPr>
      <w:r>
        <w:t>Disclose material insider holdings and avoid misleading claims of a fair launch.</w:t>
      </w:r>
    </w:p>
    <w:p>
      <w:pPr>
        <w:pStyle w:val="ListBullet"/>
      </w:pPr>
      <w:r>
        <w:t>Do not claim liquidity is locked, tokens are burned, or authorities are revoked without on-chain evidence.</w:t>
      </w:r>
    </w:p>
    <w:p>
      <w:pPr>
        <w:pStyle w:val="ListBullet"/>
      </w:pPr>
      <w:r>
        <w:t>If a treasury is used, publish its purpose, control arrangements, wallet addresses where appropriate, and reporting practices.</w:t>
      </w:r>
    </w:p>
    <w:p>
      <w:r>
        <w:t>A ticker symbol alone does not uniquely identify a Solana token. Users should verify the official mint address through confirmed project channels before interacting with any token.</w:t>
      </w:r>
    </w:p>
    <w:p>
      <w:pPr>
        <w:pStyle w:val="Heading1"/>
      </w:pPr>
      <w:r>
        <w:t>8. Solana Technology and Security</w:t>
      </w:r>
    </w:p>
    <w:p>
      <w:r>
        <w:t>Solana is the proposed blockchain because it supports token transfers and decentralized applications with comparatively fast settlement and low network fees. Network fees still apply, and third-party services may charge additional fees. Use of Solana does not imply endorsement by Solana or ecosystem participants.</w:t>
      </w:r>
    </w:p>
    <w:p>
      <w:r>
        <w:t>The exact token program and configuration must be selected and documented before deployment. The project should not claim to operate custom smart contracts, a dApp, a bridge, or a proprietary protocol unless those components have actually been built and can be inspected.</w:t>
      </w:r>
    </w:p>
    <w:p>
      <w:pPr>
        <w:pStyle w:val="Heading2"/>
      </w:pPr>
      <w:r>
        <w:t>Recommended security practices</w:t>
      </w:r>
    </w:p>
    <w:p>
      <w:pPr>
        <w:pStyle w:val="ListBullet"/>
      </w:pPr>
      <w:r>
        <w:t>Use a documented deployment checklist and verify token settings before announcing the mint address.</w:t>
      </w:r>
    </w:p>
    <w:p>
      <w:pPr>
        <w:pStyle w:val="ListBullet"/>
      </w:pPr>
      <w:r>
        <w:t>Protect private keys and seed phrases; restrict access to administrative credentials.</w:t>
      </w:r>
    </w:p>
    <w:p>
      <w:pPr>
        <w:pStyle w:val="ListBullet"/>
      </w:pPr>
      <w:r>
        <w:t>Consider multisignature controls for any project treasury or retained administrative authority.</w:t>
      </w:r>
    </w:p>
    <w:p>
      <w:pPr>
        <w:pStyle w:val="ListBullet"/>
      </w:pPr>
      <w:r>
        <w:t>Publish clear details about mint and freeze authorities, including what powers remain active.</w:t>
      </w:r>
    </w:p>
    <w:p>
      <w:pPr>
        <w:pStyle w:val="ListBullet"/>
      </w:pPr>
      <w:r>
        <w:t>Arrange independent review for custom code or complex integrations and accurately state the review’s scope.</w:t>
      </w:r>
    </w:p>
    <w:p>
      <w:pPr>
        <w:pStyle w:val="ListBullet"/>
      </w:pPr>
      <w:r>
        <w:t>Maintain an incident-response plan for compromised accounts, fake tokens, impersonation, and misleading listings.</w:t>
      </w:r>
    </w:p>
    <w:p>
      <w:r>
        <w:t>No security review can eliminate all risk. A review of token settings does not automatically cover websites, wallets, social accounts, exchanges, liquidity pools, or third-party applications.</w:t>
      </w:r>
    </w:p>
    <w:p>
      <w:pPr>
        <w:pStyle w:val="Heading1"/>
      </w:pPr>
      <w:r>
        <w:t>9. Transparency, Treasury, and Governance</w:t>
      </w:r>
    </w:p>
    <w:p>
      <w:r>
        <w:t>The project should describe itself as community-driven without implying that formal decentralized governance already exists. Before making public commitments, the project should establish who can control official accounts, token authorities, treasury funds, and project decisions.</w:t>
      </w:r>
    </w:p>
    <w:p>
      <w:pPr>
        <w:pStyle w:val="Heading2"/>
      </w:pPr>
      <w:r>
        <w:t>Transparency practices to adopt</w:t>
      </w:r>
    </w:p>
    <w:p>
      <w:pPr>
        <w:pStyle w:val="ListBullet"/>
      </w:pPr>
      <w:r>
        <w:t>Maintain a canonical source for official links, mint address, tokenomics, and risk disclosures.</w:t>
      </w:r>
    </w:p>
    <w:p>
      <w:pPr>
        <w:pStyle w:val="ListBullet"/>
      </w:pPr>
      <w:r>
        <w:t>Publish material changes to token configuration, treasury controls, or project direction.</w:t>
      </w:r>
    </w:p>
    <w:p>
      <w:pPr>
        <w:pStyle w:val="ListBullet"/>
      </w:pPr>
      <w:r>
        <w:t>If a treasury exists, disclose its purpose, control arrangements, and periodic activity summaries.</w:t>
      </w:r>
    </w:p>
    <w:p>
      <w:pPr>
        <w:pStyle w:val="ListBullet"/>
      </w:pPr>
      <w:r>
        <w:t>If community voting is introduced, specify who can vote, how proposals work, the voting period, and whether outcomes are advisory or binding.</w:t>
      </w:r>
    </w:p>
    <w:p>
      <w:pPr>
        <w:pStyle w:val="ListBullet"/>
      </w:pPr>
      <w:r>
        <w:t>Disclose paid promotions, relevant conflicts of interest, and compensation where required.</w:t>
      </w:r>
    </w:p>
    <w:p>
      <w:r>
        <w:t>These practices should be presented as commitments only after they have been adopted and implemented. Informal polls do not create binding governance rights unless formal rules say so.</w:t>
      </w:r>
    </w:p>
    <w:p>
      <w:pPr>
        <w:pStyle w:val="Heading1"/>
      </w:pPr>
      <w:r>
        <w:t>10. Roadmap</w:t>
      </w:r>
    </w:p>
    <w:p>
      <w:r>
        <w:t>This roadmap is a proposed sequence, not a guarantee or fixed delivery schedule. Dates should be added only when the team has a realistic plan.</w:t>
      </w:r>
    </w:p>
    <w:p>
      <w:pPr>
        <w:pStyle w:val="Heading2"/>
      </w:pPr>
      <w:r>
        <w:t>Phase 1 — Foundation and disclosures</w:t>
      </w:r>
    </w:p>
    <w:p>
      <w:pPr>
        <w:pStyle w:val="ListBullet"/>
      </w:pPr>
      <w:r>
        <w:t>Confirm official communication channels and project status.</w:t>
      </w:r>
    </w:p>
    <w:p>
      <w:pPr>
        <w:pStyle w:val="ListBullet"/>
      </w:pPr>
      <w:r>
        <w:t>Finalize token design, tokenomics, authority settings, and required disclosures.</w:t>
      </w:r>
    </w:p>
    <w:p>
      <w:pPr>
        <w:pStyle w:val="ListBullet"/>
      </w:pPr>
      <w:r>
        <w:t>Review legal, tax, marketing, and technical obligations with qualified advisers.</w:t>
      </w:r>
    </w:p>
    <w:p>
      <w:pPr>
        <w:pStyle w:val="ListBullet"/>
      </w:pPr>
      <w:r>
        <w:t>Publish a fake-token warning and canonical mint address only after deployment and verification.</w:t>
      </w:r>
    </w:p>
    <w:p>
      <w:pPr>
        <w:pStyle w:val="Heading2"/>
      </w:pPr>
      <w:r>
        <w:t>Phase 2 — Community and education</w:t>
      </w:r>
    </w:p>
    <w:p>
      <w:pPr>
        <w:pStyle w:val="ListBullet"/>
      </w:pPr>
      <w:r>
        <w:t>Establish moderation standards and community channels.</w:t>
      </w:r>
    </w:p>
    <w:p>
      <w:pPr>
        <w:pStyle w:val="ListBullet"/>
      </w:pPr>
      <w:r>
        <w:t>Publish sustainability explainers and transparent project updates.</w:t>
      </w:r>
    </w:p>
    <w:p>
      <w:pPr>
        <w:pStyle w:val="ListBullet"/>
      </w:pPr>
      <w:r>
        <w:t>Gather feedback on accessible, voluntary community activities.</w:t>
      </w:r>
    </w:p>
    <w:p>
      <w:pPr>
        <w:pStyle w:val="Heading2"/>
      </w:pPr>
      <w:r>
        <w:t>Phase 3 — Small, verifiable initiatives</w:t>
      </w:r>
    </w:p>
    <w:p>
      <w:pPr>
        <w:pStyle w:val="ListBullet"/>
      </w:pPr>
      <w:r>
        <w:t>Evaluate sustainability-themed challenges or digital collectibles.</w:t>
      </w:r>
    </w:p>
    <w:p>
      <w:pPr>
        <w:pStyle w:val="ListBullet"/>
      </w:pPr>
      <w:r>
        <w:t>Assess potential environmental partners through due diligence.</w:t>
      </w:r>
    </w:p>
    <w:p>
      <w:pPr>
        <w:pStyle w:val="ListBullet"/>
      </w:pPr>
      <w:r>
        <w:t>If a funded activity is approved, publish its budget, controls, recipient, and reporting method before collecting funds.</w:t>
      </w:r>
    </w:p>
    <w:p>
      <w:pPr>
        <w:pStyle w:val="Heading2"/>
      </w:pPr>
      <w:r>
        <w:t>Phase 4 — Review and improvement</w:t>
      </w:r>
    </w:p>
    <w:p>
      <w:pPr>
        <w:pStyle w:val="ListBullet"/>
      </w:pPr>
      <w:r>
        <w:t>Review community feedback, security, accuracy of claims, and activity results.</w:t>
      </w:r>
    </w:p>
    <w:p>
      <w:pPr>
        <w:pStyle w:val="ListBullet"/>
      </w:pPr>
      <w:r>
        <w:t>Publish lessons learned and clearly identify what has and has not been delivered.</w:t>
      </w:r>
    </w:p>
    <w:p>
      <w:pPr>
        <w:pStyle w:val="ListBullet"/>
      </w:pPr>
      <w:r>
        <w:t>Continue only initiatives that are feasible, lawful, transparent, and aligned with the mission.</w:t>
      </w:r>
    </w:p>
    <w:p>
      <w:pPr>
        <w:pStyle w:val="Heading1"/>
      </w:pPr>
      <w:r>
        <w:t>11. Risks and Limitations</w:t>
      </w:r>
    </w:p>
    <w:p>
      <w:r>
        <w:t>Potential participants should understand that digital assets carry significant risks, including:</w:t>
      </w:r>
    </w:p>
    <w:p>
      <w:pPr>
        <w:pStyle w:val="ListBullet"/>
      </w:pPr>
      <w:r>
        <w:t>Market risk: token value can fluctuate sharply or fall to zero.</w:t>
      </w:r>
    </w:p>
    <w:p>
      <w:pPr>
        <w:pStyle w:val="ListBullet"/>
      </w:pPr>
      <w:r>
        <w:t>Liquidity risk: a holder may not be able to sell at a desired time or price.</w:t>
      </w:r>
    </w:p>
    <w:p>
      <w:pPr>
        <w:pStyle w:val="ListBullet"/>
      </w:pPr>
      <w:r>
        <w:t>Technical risk: wallets, networks, token programs, websites, or third-party services may fail or be compromised.</w:t>
      </w:r>
    </w:p>
    <w:p>
      <w:pPr>
        <w:pStyle w:val="ListBullet"/>
      </w:pPr>
      <w:r>
        <w:t>Configuration risk: retained mint, freeze, or administrative authorities may create additional risks.</w:t>
      </w:r>
    </w:p>
    <w:p>
      <w:pPr>
        <w:pStyle w:val="ListBullet"/>
      </w:pPr>
      <w:r>
        <w:t>Impersonation risk: scammers may copy the name, ticker, artwork, or social accounts.</w:t>
      </w:r>
    </w:p>
    <w:p>
      <w:pPr>
        <w:pStyle w:val="ListBullet"/>
      </w:pPr>
      <w:r>
        <w:t>Regulatory and tax risk: requirements vary by jurisdiction and may change.</w:t>
      </w:r>
    </w:p>
    <w:p>
      <w:pPr>
        <w:pStyle w:val="ListBullet"/>
      </w:pPr>
      <w:r>
        <w:t>Execution risk: planned features, campaigns, funding, or partnerships may never occur.</w:t>
      </w:r>
    </w:p>
    <w:p>
      <w:pPr>
        <w:pStyle w:val="ListBullet"/>
      </w:pPr>
      <w:r>
        <w:t>Environmental-claim risk: unsupported claims can mislead the public and damage trust.</w:t>
      </w:r>
    </w:p>
    <w:p>
      <w:pPr>
        <w:pStyle w:val="ListBullet"/>
      </w:pPr>
      <w:r>
        <w:t>Operational risk: lost keys, compromised accounts, weak treasury controls, or disputes may disrupt the project.</w:t>
      </w:r>
    </w:p>
    <w:p>
      <w:r>
        <w:t>This list is not exhaustive. The project cannot guarantee exchange access, liquidity, continued development, token value, or environmental outcomes.</w:t>
      </w:r>
    </w:p>
    <w:p>
      <w:pPr>
        <w:pStyle w:val="Heading1"/>
      </w:pPr>
      <w:r>
        <w:t>12. Legal and Communications Principles</w:t>
      </w:r>
    </w:p>
    <w:p>
      <w:r>
        <w:t>The legal treatment of $TST may depend on its design, distribution, marketing, governance, and the jurisdictions involved. Qualified legal and tax advisers should review the project before launch, fundraising, contests, or promotions.</w:t>
      </w:r>
    </w:p>
    <w:p>
      <w:r>
        <w:t>Public communications should not promise profits, price targets, guaranteed listings, guaranteed liquidity, or unverified utility. Any promotional contest should publish clear rules and comply with applicable law and platform policies.</w:t>
      </w:r>
    </w:p>
    <w:p>
      <w:r>
        <w:t>The project should not imply affiliation with Solana, any exchange, environmental charity, or other organization without permission and evidence. Any paid marketing or material conflict should be disclosed where required.</w:t>
      </w:r>
    </w:p>
    <w:p>
      <w:r>
        <w:t>Nothing in this document creates a partnership, fiduciary relationship, profit-sharing agreement, ownership interest, or contractual entitlement unless a separate valid agreement expressly provides one.</w:t>
      </w:r>
    </w:p>
    <w:p>
      <w:pPr>
        <w:pStyle w:val="Heading1"/>
      </w:pPr>
      <w:r>
        <w:t>13. Frequently Asked Questions</w:t>
      </w:r>
    </w:p>
    <w:p>
      <w:pPr>
        <w:pStyle w:val="Heading2"/>
      </w:pPr>
      <w:r>
        <w:t>Is $TST an environmental charity?</w:t>
      </w:r>
    </w:p>
    <w:p>
      <w:r>
        <w:t>No. A sustainability theme does not make a token a charity. Any future charitable activity must be separately established and verifiable.</w:t>
      </w:r>
    </w:p>
    <w:p>
      <w:pPr>
        <w:pStyle w:val="Heading2"/>
      </w:pPr>
      <w:r>
        <w:t>Does buying or holding $TST directly help the environment?</w:t>
      </w:r>
    </w:p>
    <w:p>
      <w:r>
        <w:t>Not by itself. A token purchase or trade is not evidence of environmental benefit.</w:t>
      </w:r>
    </w:p>
    <w:p>
      <w:pPr>
        <w:pStyle w:val="Heading2"/>
      </w:pPr>
      <w:r>
        <w:t>What is the proposed blockchain?</w:t>
      </w:r>
    </w:p>
    <w:p>
      <w:r>
        <w:t>Solana. The official mint address and token settings should be published only after deployment and verification.</w:t>
      </w:r>
    </w:p>
    <w:p>
      <w:pPr>
        <w:pStyle w:val="Heading2"/>
      </w:pPr>
      <w:r>
        <w:t>Does $TST have guaranteed utility or rewards?</w:t>
      </w:r>
    </w:p>
    <w:p>
      <w:r>
        <w:t>No. The initial concept is a sustainability-themed community meme coin. Any future features must be announced only when implemented.</w:t>
      </w:r>
    </w:p>
    <w:p>
      <w:pPr>
        <w:pStyle w:val="Heading2"/>
      </w:pPr>
      <w:r>
        <w:t>Are donations or partnerships already active?</w:t>
      </w:r>
    </w:p>
    <w:p>
      <w:r>
        <w:t>This whitepaper does not establish any active donation program or partnership. Future initiatives must be confirmed and documented before being promoted.</w:t>
      </w:r>
    </w:p>
    <w:p>
      <w:pPr>
        <w:pStyle w:val="Heading2"/>
      </w:pPr>
      <w:r>
        <w:t>How do users avoid fake tokens?</w:t>
      </w:r>
    </w:p>
    <w:p>
      <w:r>
        <w:t>Verify the exact mint address through official project channels and a reputable Solana explorer. A matching ticker or logo is not enough.</w:t>
      </w:r>
    </w:p>
    <w:p>
      <w:pPr>
        <w:pStyle w:val="Heading2"/>
      </w:pPr>
      <w:r>
        <w:t>Are tokenomics finalized?</w:t>
      </w:r>
    </w:p>
    <w:p>
      <w:r>
        <w:t>Not in this version. Supply, decimals, allocations, authorities, and liquidity arrangements must be confirmed and disclosed before launch.</w:t>
      </w:r>
    </w:p>
    <w:p>
      <w:pPr>
        <w:pStyle w:val="Heading1"/>
      </w:pPr>
      <w:r>
        <w:t>14. Conclusion</w:t>
      </w:r>
    </w:p>
    <w:p>
      <w:r>
        <w:t>The Sustainable Token ($TST) aims to bring environmental awareness into the world of Solana meme coins by creating a recognizable community around clean energy, protecting natural resources, biodiversity, reducing waste, and practical sustainable habits.</w:t>
      </w:r>
    </w:p>
    <w:p>
      <w:r>
        <w:t>The project’s value should be judged by the clarity of its disclosures, the quality of its community, the security of its operations, and the evidence behind any future claims—not by token price or attention alone.</w:t>
      </w:r>
    </w:p>
    <w:p>
      <w:r>
        <w:t>A greener future requires informed choices, collective effort, and honest communication. $TST aims to contribute to that conversation while remaining clear about what it is, what it is not, and what it has yet to achieve.</w:t>
      </w:r>
    </w:p>
    <w:p>
      <w:r>
        <w:t>One Planet. One Community. A Sustainable Future.</w:t>
      </w:r>
    </w:p>
    <w:p>
      <w:pPr>
        <w:pStyle w:val="Heading1"/>
      </w:pPr>
      <w:r>
        <w:t>Appendix A — Pre-Launch Checklist</w:t>
      </w:r>
    </w:p>
    <w:p>
      <w:pPr>
        <w:pStyle w:val="ListBullet"/>
      </w:pPr>
      <w:r>
        <w:t>Confirm project status and official website/social channels.</w:t>
      </w:r>
    </w:p>
    <w:p>
      <w:pPr>
        <w:pStyle w:val="ListBullet"/>
      </w:pPr>
      <w:r>
        <w:t>Publish the canonical mint address and explorer links after deployment.</w:t>
      </w:r>
    </w:p>
    <w:p>
      <w:pPr>
        <w:pStyle w:val="ListBullet"/>
      </w:pPr>
      <w:r>
        <w:t>Confirm token program, supply, decimals, and authority settings.</w:t>
      </w:r>
    </w:p>
    <w:p>
      <w:pPr>
        <w:pStyle w:val="ListBullet"/>
      </w:pPr>
      <w:r>
        <w:t>Disclose allocations, vesting, material holdings, and liquidity arrangements.</w:t>
      </w:r>
    </w:p>
    <w:p>
      <w:pPr>
        <w:pStyle w:val="ListBullet"/>
      </w:pPr>
      <w:r>
        <w:t>Document treasury controls and reporting if a treasury exists.</w:t>
      </w:r>
    </w:p>
    <w:p>
      <w:pPr>
        <w:pStyle w:val="ListBullet"/>
      </w:pPr>
      <w:r>
        <w:t>Publish risk disclosures and a fake-token warning.</w:t>
      </w:r>
    </w:p>
    <w:p>
      <w:pPr>
        <w:pStyle w:val="ListBullet"/>
      </w:pPr>
      <w:r>
        <w:t>Review marketing, fundraising, contests, and legal requirements.</w:t>
      </w:r>
    </w:p>
    <w:p>
      <w:pPr>
        <w:pStyle w:val="ListBullet"/>
      </w:pPr>
      <w:r>
        <w:t>Verify any security review and describe its scope accurately.</w:t>
      </w:r>
    </w:p>
    <w:p>
      <w:pPr>
        <w:pStyle w:val="ListBullet"/>
      </w:pPr>
      <w:r>
        <w:t>Adopt environmental-claim standards before announcing impact.</w:t>
      </w:r>
    </w:p>
    <w:p>
      <w:pPr>
        <w:pStyle w:val="ListBullet"/>
      </w:pPr>
      <w:r>
        <w:t>Do not announce donations or partnerships until formally established and evidenced.</w:t>
      </w:r>
    </w:p>
    <w:p>
      <w:pPr>
        <w:pStyle w:val="Heading1"/>
      </w:pPr>
      <w:r>
        <w:t>Appendix B — Definitions</w:t>
      </w:r>
    </w:p>
    <w:p>
      <w:r>
        <w:rPr>
          <w:b/>
        </w:rPr>
        <w:t>Mint address:</w:t>
      </w:r>
      <w:r>
        <w:t xml:space="preserve"> the unique on-chain address identifying a token on Solana.</w:t>
      </w:r>
    </w:p>
    <w:p>
      <w:r>
        <w:rPr>
          <w:b/>
        </w:rPr>
        <w:t>Mint authority:</w:t>
      </w:r>
      <w:r>
        <w:t xml:space="preserve"> an authority that may be able to create additional token units, depending on configuration.</w:t>
      </w:r>
    </w:p>
    <w:p>
      <w:r>
        <w:rPr>
          <w:b/>
        </w:rPr>
        <w:t>Freeze authority:</w:t>
      </w:r>
      <w:r>
        <w:t xml:space="preserve"> an authority that may be able to freeze token accounts, depending on configuration.</w:t>
      </w:r>
    </w:p>
    <w:p>
      <w:r>
        <w:rPr>
          <w:b/>
        </w:rPr>
        <w:t>Liquidity:</w:t>
      </w:r>
      <w:r>
        <w:t xml:space="preserve"> assets available in a market or pool to facilitate buying and selling.</w:t>
      </w:r>
    </w:p>
    <w:p>
      <w:r>
        <w:rPr>
          <w:b/>
        </w:rPr>
        <w:t>Treasury:</w:t>
      </w:r>
      <w:r>
        <w:t xml:space="preserve"> digital assets held for disclosed project expenses or activities.</w:t>
      </w:r>
    </w:p>
    <w:p>
      <w:r>
        <w:rPr>
          <w:b/>
        </w:rPr>
        <w:t>Circular economy:</w:t>
      </w:r>
      <w:r>
        <w:t xml:space="preserve"> an approach that seeks to keep products and materials in use through reduction, reuse, repair, and recycling.</w:t>
      </w:r>
    </w:p>
    <w:p>
      <w:r>
        <w:rPr>
          <w:b/>
        </w:rPr>
        <w:t>Environmental impact:</w:t>
      </w:r>
      <w:r>
        <w:t xml:space="preserve"> an outcome supported by a defined method and credible evidence; online engagement alone is not proof.</w:t>
      </w:r>
    </w:p>
    <w:p>
      <w:r>
        <w:rPr>
          <w:b/>
        </w:rPr>
        <w:t>Multisignature:</w:t>
      </w:r>
      <w:r>
        <w:t xml:space="preserve"> a control arrangement requiring approval from multiple keys for specified transactions.</w:t>
      </w:r>
    </w:p>
    <w:p>
      <w:pPr>
        <w:pStyle w:val="Heading1"/>
      </w:pPr>
      <w:r>
        <w:t>Document Status</w:t>
      </w:r>
    </w:p>
    <w:p>
      <w:r>
        <w:t>Revised Whitepaper — Version 1.1 — October 2026. This document is a proposed project framework. Before public release, confirm the project’s actual status, fill in verified technical and tokenomics details, and obtain appropriate professional review.</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06455"/>
        <w:sz w:val="16"/>
      </w:rPr>
      <w:t>THE SUSTAINABLE TOKEN ($TST) • REVISED WHITEPAPER • VERSION 1.1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73F2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78A4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F2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Sustainable Token ($TST) — Revised Whitepaper</dc:title>
  <dc:subject>Revised sustainability-themed Solana token whitepaper</dc:subject>
  <dc:creator>The Sustainable Token project</dc:creator>
  <cp:keywords/>
  <dc:description>generated by python-docx</dc:description>
  <cp:lastModifiedBy/>
  <cp:revision>1</cp:revision>
  <dcterms:created xsi:type="dcterms:W3CDTF">2013-12-23T23:15:00Z</dcterms:created>
  <dcterms:modified xsi:type="dcterms:W3CDTF">2013-12-23T23:15:00Z</dcterms:modified>
  <cp:category/>
</cp:coreProperties>
</file>